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5A" w:rsidRPr="00620513" w:rsidRDefault="00856C6E" w:rsidP="00FC155A">
      <w:pPr>
        <w:jc w:val="center"/>
        <w:rPr>
          <w:b/>
          <w:sz w:val="28"/>
          <w:szCs w:val="28"/>
          <w:u w:val="single"/>
        </w:rPr>
      </w:pPr>
      <w:r w:rsidRPr="00620513">
        <w:rPr>
          <w:b/>
          <w:sz w:val="28"/>
          <w:szCs w:val="28"/>
          <w:u w:val="single"/>
        </w:rPr>
        <w:t xml:space="preserve">HOB II </w:t>
      </w:r>
      <w:r w:rsidR="00FC155A" w:rsidRPr="00620513">
        <w:rPr>
          <w:b/>
          <w:sz w:val="28"/>
          <w:szCs w:val="28"/>
          <w:u w:val="single"/>
        </w:rPr>
        <w:t>Adopt-A-Room Program</w:t>
      </w:r>
      <w:r w:rsidRPr="00620513">
        <w:rPr>
          <w:b/>
          <w:sz w:val="28"/>
          <w:szCs w:val="28"/>
          <w:u w:val="single"/>
        </w:rPr>
        <w:t xml:space="preserve"> 201</w:t>
      </w:r>
      <w:r w:rsidR="00765DE8">
        <w:rPr>
          <w:b/>
          <w:sz w:val="28"/>
          <w:szCs w:val="28"/>
          <w:u w:val="single"/>
        </w:rPr>
        <w:t>7</w:t>
      </w:r>
      <w:r w:rsidR="00620513">
        <w:rPr>
          <w:b/>
          <w:sz w:val="28"/>
          <w:szCs w:val="28"/>
          <w:u w:val="single"/>
        </w:rPr>
        <w:t xml:space="preserve">                </w:t>
      </w:r>
    </w:p>
    <w:p w:rsidR="00FC155A" w:rsidRDefault="00FC155A" w:rsidP="00FC155A">
      <w:pPr>
        <w:jc w:val="center"/>
        <w:rPr>
          <w:sz w:val="28"/>
          <w:szCs w:val="28"/>
        </w:rPr>
      </w:pPr>
    </w:p>
    <w:p w:rsidR="00FC155A" w:rsidRDefault="00FC155A" w:rsidP="00FC155A">
      <w:r>
        <w:t xml:space="preserve">Thanks for inquiring about our Adopt-A-Room Program in support of our Women Warriors.  Your efforts will truly make their time at the Home of the Brave II a positive experience.  </w:t>
      </w:r>
    </w:p>
    <w:p w:rsidR="00FC155A" w:rsidRDefault="00FC155A" w:rsidP="00FC155A">
      <w:r>
        <w:t xml:space="preserve">The </w:t>
      </w:r>
      <w:r w:rsidR="00856C6E">
        <w:t>Home of the Brave</w:t>
      </w:r>
      <w:r>
        <w:t xml:space="preserve"> has taken steps to ensure that all </w:t>
      </w:r>
      <w:r w:rsidR="008740C2">
        <w:t>r</w:t>
      </w:r>
      <w:r>
        <w:t xml:space="preserve">esidents have a clean, safe, living environment that is consistent with efforts to prepare them to move in to their own home.  To reduce the possibility of conflict between Residents, our goal is to maintain a standard that is common for all. In addition, since the ultimate goal is for our Residents to move on, our program is set up for several room turn-overs in any given year.  </w:t>
      </w:r>
    </w:p>
    <w:p w:rsidR="00FC155A" w:rsidRDefault="00FC155A" w:rsidP="00FC155A">
      <w:r>
        <w:t xml:space="preserve">Personal items such as towels, pillows, linens, blankets, etc. will be given to residents upon their arrival and will go with them to their new home. Each bedroom is shared and will house two or more residents at a time.  </w:t>
      </w:r>
    </w:p>
    <w:p w:rsidR="00FC155A" w:rsidRDefault="00FC155A" w:rsidP="00FC155A">
      <w:r>
        <w:t xml:space="preserve">Annual sponsorship involves a financial donation to support painting and replacement of personal items as well as rug cleaning, utilities and general maintenance as necessary for your designated room. Room sponsorship may be shared if donors want to collaborate. </w:t>
      </w:r>
    </w:p>
    <w:p w:rsidR="00FC155A" w:rsidRDefault="00FC155A" w:rsidP="00FC155A">
      <w:r>
        <w:t xml:space="preserve">The rooms identified for </w:t>
      </w:r>
      <w:r w:rsidR="00856C6E">
        <w:t>a</w:t>
      </w:r>
      <w:r>
        <w:t>doption are</w:t>
      </w:r>
      <w:r w:rsidR="00856C6E">
        <w:t xml:space="preserve"> below:</w:t>
      </w:r>
    </w:p>
    <w:p w:rsidR="00FC155A" w:rsidRDefault="00FC155A" w:rsidP="00FC155A"/>
    <w:tbl>
      <w:tblPr>
        <w:tblStyle w:val="TableGrid"/>
        <w:tblW w:w="10963" w:type="dxa"/>
        <w:tblInd w:w="-705" w:type="dxa"/>
        <w:tblLayout w:type="fixed"/>
        <w:tblLook w:val="04A0" w:firstRow="1" w:lastRow="0" w:firstColumn="1" w:lastColumn="0" w:noHBand="0" w:noVBand="1"/>
      </w:tblPr>
      <w:tblGrid>
        <w:gridCol w:w="1623"/>
        <w:gridCol w:w="1440"/>
        <w:gridCol w:w="1530"/>
        <w:gridCol w:w="1710"/>
        <w:gridCol w:w="1620"/>
        <w:gridCol w:w="1170"/>
        <w:gridCol w:w="1870"/>
      </w:tblGrid>
      <w:tr w:rsidR="00966125" w:rsidTr="00966125">
        <w:tc>
          <w:tcPr>
            <w:tcW w:w="1623" w:type="dxa"/>
          </w:tcPr>
          <w:p w:rsidR="00966125" w:rsidRPr="00966125" w:rsidRDefault="00966125" w:rsidP="00C53471">
            <w:pPr>
              <w:rPr>
                <w:b/>
                <w:noProof/>
                <w:sz w:val="20"/>
                <w:szCs w:val="20"/>
              </w:rPr>
            </w:pPr>
            <w:r w:rsidRPr="00966125">
              <w:rPr>
                <w:b/>
                <w:noProof/>
                <w:sz w:val="20"/>
                <w:szCs w:val="20"/>
              </w:rPr>
              <w:t>Study Hall</w:t>
            </w:r>
          </w:p>
        </w:tc>
        <w:tc>
          <w:tcPr>
            <w:tcW w:w="1440" w:type="dxa"/>
          </w:tcPr>
          <w:p w:rsidR="00966125" w:rsidRPr="00966125" w:rsidRDefault="00966125" w:rsidP="00401403">
            <w:pPr>
              <w:rPr>
                <w:b/>
                <w:noProof/>
                <w:sz w:val="20"/>
                <w:szCs w:val="20"/>
              </w:rPr>
            </w:pPr>
            <w:r w:rsidRPr="00966125">
              <w:rPr>
                <w:b/>
                <w:noProof/>
                <w:sz w:val="20"/>
                <w:szCs w:val="20"/>
              </w:rPr>
              <w:t>Kitchen</w:t>
            </w:r>
          </w:p>
        </w:tc>
        <w:tc>
          <w:tcPr>
            <w:tcW w:w="1530" w:type="dxa"/>
          </w:tcPr>
          <w:p w:rsidR="00966125" w:rsidRPr="00966125" w:rsidRDefault="00966125" w:rsidP="00401403">
            <w:pPr>
              <w:rPr>
                <w:b/>
                <w:noProof/>
                <w:sz w:val="20"/>
                <w:szCs w:val="20"/>
              </w:rPr>
            </w:pPr>
            <w:r w:rsidRPr="00966125">
              <w:rPr>
                <w:b/>
                <w:noProof/>
                <w:sz w:val="20"/>
                <w:szCs w:val="20"/>
              </w:rPr>
              <w:t>Dining Room</w:t>
            </w:r>
          </w:p>
        </w:tc>
        <w:tc>
          <w:tcPr>
            <w:tcW w:w="1710" w:type="dxa"/>
          </w:tcPr>
          <w:p w:rsidR="00966125" w:rsidRPr="00966125" w:rsidRDefault="00966125" w:rsidP="00401403">
            <w:pPr>
              <w:rPr>
                <w:b/>
                <w:noProof/>
                <w:sz w:val="20"/>
                <w:szCs w:val="20"/>
              </w:rPr>
            </w:pPr>
            <w:r w:rsidRPr="00966125">
              <w:rPr>
                <w:b/>
                <w:noProof/>
                <w:sz w:val="20"/>
                <w:szCs w:val="20"/>
              </w:rPr>
              <w:t>Bathrooms (5)</w:t>
            </w:r>
          </w:p>
        </w:tc>
        <w:tc>
          <w:tcPr>
            <w:tcW w:w="1620" w:type="dxa"/>
          </w:tcPr>
          <w:p w:rsidR="00966125" w:rsidRPr="008740C2" w:rsidRDefault="00966125" w:rsidP="00401403">
            <w:pPr>
              <w:rPr>
                <w:b/>
                <w:noProof/>
                <w:sz w:val="18"/>
                <w:szCs w:val="18"/>
              </w:rPr>
            </w:pPr>
            <w:r w:rsidRPr="008740C2">
              <w:rPr>
                <w:b/>
                <w:noProof/>
                <w:sz w:val="18"/>
                <w:szCs w:val="18"/>
              </w:rPr>
              <w:t>Staff Office/Conference</w:t>
            </w:r>
          </w:p>
        </w:tc>
        <w:tc>
          <w:tcPr>
            <w:tcW w:w="1170" w:type="dxa"/>
          </w:tcPr>
          <w:p w:rsidR="00966125" w:rsidRPr="00966125" w:rsidRDefault="00966125" w:rsidP="00401403">
            <w:pPr>
              <w:rPr>
                <w:b/>
                <w:noProof/>
                <w:sz w:val="20"/>
                <w:szCs w:val="20"/>
              </w:rPr>
            </w:pPr>
            <w:r w:rsidRPr="00966125">
              <w:rPr>
                <w:b/>
                <w:noProof/>
                <w:sz w:val="20"/>
                <w:szCs w:val="20"/>
              </w:rPr>
              <w:t>Living Room</w:t>
            </w:r>
          </w:p>
        </w:tc>
        <w:tc>
          <w:tcPr>
            <w:tcW w:w="1870" w:type="dxa"/>
          </w:tcPr>
          <w:p w:rsidR="00966125" w:rsidRPr="00966125" w:rsidRDefault="00966125" w:rsidP="00401403">
            <w:pPr>
              <w:spacing w:after="0" w:line="240" w:lineRule="auto"/>
              <w:jc w:val="center"/>
              <w:rPr>
                <w:sz w:val="20"/>
                <w:szCs w:val="20"/>
              </w:rPr>
            </w:pPr>
            <w:r w:rsidRPr="00966125">
              <w:rPr>
                <w:b/>
                <w:sz w:val="20"/>
                <w:szCs w:val="20"/>
              </w:rPr>
              <w:t>Bedrooms (4</w:t>
            </w:r>
            <w:r w:rsidRPr="00966125">
              <w:rPr>
                <w:sz w:val="20"/>
                <w:szCs w:val="20"/>
              </w:rPr>
              <w:t>)</w:t>
            </w:r>
          </w:p>
        </w:tc>
      </w:tr>
      <w:tr w:rsidR="00966125" w:rsidTr="00966125">
        <w:tc>
          <w:tcPr>
            <w:tcW w:w="1623" w:type="dxa"/>
          </w:tcPr>
          <w:p w:rsidR="00966125" w:rsidRPr="00966125" w:rsidRDefault="00966125" w:rsidP="00401403">
            <w:pPr>
              <w:rPr>
                <w:noProof/>
                <w:sz w:val="20"/>
                <w:szCs w:val="20"/>
              </w:rPr>
            </w:pPr>
            <w:r w:rsidRPr="00966125">
              <w:rPr>
                <w:noProof/>
                <w:sz w:val="20"/>
                <w:szCs w:val="20"/>
              </w:rPr>
              <w:t>Where our clients and children search the net, do homework, create resumes</w:t>
            </w:r>
          </w:p>
        </w:tc>
        <w:tc>
          <w:tcPr>
            <w:tcW w:w="1440" w:type="dxa"/>
          </w:tcPr>
          <w:p w:rsidR="00966125" w:rsidRPr="00966125" w:rsidRDefault="00966125" w:rsidP="00401403">
            <w:pPr>
              <w:rPr>
                <w:noProof/>
                <w:sz w:val="20"/>
                <w:szCs w:val="20"/>
              </w:rPr>
            </w:pPr>
            <w:r w:rsidRPr="00966125">
              <w:rPr>
                <w:noProof/>
                <w:sz w:val="20"/>
                <w:szCs w:val="20"/>
              </w:rPr>
              <w:t>Shared area where clients prepare meals themselves and their children</w:t>
            </w:r>
          </w:p>
        </w:tc>
        <w:tc>
          <w:tcPr>
            <w:tcW w:w="1530" w:type="dxa"/>
          </w:tcPr>
          <w:p w:rsidR="00966125" w:rsidRPr="00966125" w:rsidRDefault="00966125" w:rsidP="00401403">
            <w:pPr>
              <w:rPr>
                <w:noProof/>
                <w:sz w:val="20"/>
                <w:szCs w:val="20"/>
              </w:rPr>
            </w:pPr>
            <w:r w:rsidRPr="00966125">
              <w:rPr>
                <w:noProof/>
                <w:sz w:val="20"/>
                <w:szCs w:val="20"/>
              </w:rPr>
              <w:t xml:space="preserve">Common room where families can break bread and strengthen bonds </w:t>
            </w:r>
          </w:p>
        </w:tc>
        <w:tc>
          <w:tcPr>
            <w:tcW w:w="1710" w:type="dxa"/>
          </w:tcPr>
          <w:p w:rsidR="00966125" w:rsidRPr="00966125" w:rsidRDefault="00966125" w:rsidP="00401403">
            <w:pPr>
              <w:rPr>
                <w:noProof/>
                <w:sz w:val="20"/>
                <w:szCs w:val="20"/>
              </w:rPr>
            </w:pPr>
            <w:r w:rsidRPr="00966125">
              <w:rPr>
                <w:noProof/>
                <w:sz w:val="20"/>
                <w:szCs w:val="20"/>
              </w:rPr>
              <w:t>Shared baths, where clients need towels, rugs, toiletries and hygene materials</w:t>
            </w:r>
          </w:p>
        </w:tc>
        <w:tc>
          <w:tcPr>
            <w:tcW w:w="1620" w:type="dxa"/>
          </w:tcPr>
          <w:p w:rsidR="00966125" w:rsidRPr="00966125" w:rsidRDefault="00966125" w:rsidP="00C53471">
            <w:pPr>
              <w:rPr>
                <w:noProof/>
                <w:sz w:val="20"/>
                <w:szCs w:val="20"/>
              </w:rPr>
            </w:pPr>
            <w:r w:rsidRPr="00966125">
              <w:rPr>
                <w:noProof/>
                <w:sz w:val="20"/>
                <w:szCs w:val="20"/>
              </w:rPr>
              <w:t>Admin area</w:t>
            </w:r>
            <w:r w:rsidR="00C53471">
              <w:rPr>
                <w:noProof/>
                <w:sz w:val="20"/>
                <w:szCs w:val="20"/>
              </w:rPr>
              <w:t>s that support HOB II  needs</w:t>
            </w:r>
          </w:p>
        </w:tc>
        <w:tc>
          <w:tcPr>
            <w:tcW w:w="1170" w:type="dxa"/>
          </w:tcPr>
          <w:p w:rsidR="00966125" w:rsidRPr="00966125" w:rsidRDefault="00966125" w:rsidP="00966125">
            <w:pPr>
              <w:spacing w:after="0" w:line="240" w:lineRule="auto"/>
              <w:rPr>
                <w:sz w:val="20"/>
                <w:szCs w:val="20"/>
              </w:rPr>
            </w:pPr>
            <w:r w:rsidRPr="00966125">
              <w:rPr>
                <w:sz w:val="20"/>
                <w:szCs w:val="20"/>
              </w:rPr>
              <w:t xml:space="preserve">Wall TV </w:t>
            </w:r>
          </w:p>
          <w:p w:rsidR="00966125" w:rsidRPr="00966125" w:rsidRDefault="00966125" w:rsidP="00966125">
            <w:pPr>
              <w:spacing w:after="0" w:line="240" w:lineRule="auto"/>
              <w:rPr>
                <w:sz w:val="20"/>
                <w:szCs w:val="20"/>
              </w:rPr>
            </w:pPr>
            <w:r w:rsidRPr="00966125">
              <w:rPr>
                <w:sz w:val="20"/>
                <w:szCs w:val="20"/>
              </w:rPr>
              <w:t>DVD player</w:t>
            </w:r>
          </w:p>
          <w:p w:rsidR="00966125" w:rsidRPr="00966125" w:rsidRDefault="00966125" w:rsidP="00966125">
            <w:pPr>
              <w:spacing w:after="0" w:line="240" w:lineRule="auto"/>
              <w:rPr>
                <w:sz w:val="20"/>
                <w:szCs w:val="20"/>
              </w:rPr>
            </w:pPr>
            <w:r w:rsidRPr="00966125">
              <w:rPr>
                <w:sz w:val="20"/>
                <w:szCs w:val="20"/>
              </w:rPr>
              <w:t>Game table</w:t>
            </w:r>
          </w:p>
          <w:p w:rsidR="00966125" w:rsidRPr="00966125" w:rsidRDefault="00966125" w:rsidP="00966125">
            <w:pPr>
              <w:spacing w:after="0" w:line="240" w:lineRule="auto"/>
              <w:rPr>
                <w:sz w:val="20"/>
                <w:szCs w:val="20"/>
              </w:rPr>
            </w:pPr>
            <w:r w:rsidRPr="00966125">
              <w:rPr>
                <w:sz w:val="20"/>
                <w:szCs w:val="20"/>
              </w:rPr>
              <w:t>Paint</w:t>
            </w:r>
          </w:p>
          <w:p w:rsidR="00966125" w:rsidRPr="00966125" w:rsidRDefault="00966125" w:rsidP="00966125">
            <w:pPr>
              <w:spacing w:after="0" w:line="240" w:lineRule="auto"/>
              <w:rPr>
                <w:sz w:val="20"/>
                <w:szCs w:val="20"/>
              </w:rPr>
            </w:pPr>
            <w:r w:rsidRPr="00966125">
              <w:rPr>
                <w:sz w:val="20"/>
                <w:szCs w:val="20"/>
              </w:rPr>
              <w:t>Artwork</w:t>
            </w:r>
          </w:p>
          <w:p w:rsidR="00966125" w:rsidRPr="00966125" w:rsidRDefault="00966125" w:rsidP="00966125">
            <w:pPr>
              <w:spacing w:after="0" w:line="240" w:lineRule="auto"/>
              <w:rPr>
                <w:sz w:val="20"/>
                <w:szCs w:val="20"/>
              </w:rPr>
            </w:pPr>
            <w:r w:rsidRPr="00966125">
              <w:rPr>
                <w:sz w:val="20"/>
                <w:szCs w:val="20"/>
              </w:rPr>
              <w:t>End tables</w:t>
            </w:r>
          </w:p>
          <w:p w:rsidR="00966125" w:rsidRPr="00966125" w:rsidRDefault="00966125" w:rsidP="00401403">
            <w:pPr>
              <w:jc w:val="both"/>
              <w:rPr>
                <w:noProof/>
                <w:sz w:val="20"/>
                <w:szCs w:val="20"/>
              </w:rPr>
            </w:pPr>
          </w:p>
        </w:tc>
        <w:tc>
          <w:tcPr>
            <w:tcW w:w="1870" w:type="dxa"/>
          </w:tcPr>
          <w:p w:rsidR="00966125" w:rsidRPr="00966125" w:rsidRDefault="00966125" w:rsidP="00401403">
            <w:pPr>
              <w:spacing w:after="0" w:line="240" w:lineRule="auto"/>
              <w:rPr>
                <w:sz w:val="20"/>
                <w:szCs w:val="20"/>
              </w:rPr>
            </w:pPr>
            <w:r w:rsidRPr="00966125">
              <w:rPr>
                <w:sz w:val="20"/>
                <w:szCs w:val="20"/>
              </w:rPr>
              <w:t>Linens, etc.</w:t>
            </w:r>
          </w:p>
          <w:p w:rsidR="00966125" w:rsidRPr="00966125" w:rsidRDefault="00966125" w:rsidP="00401403">
            <w:pPr>
              <w:spacing w:after="0" w:line="240" w:lineRule="auto"/>
              <w:rPr>
                <w:sz w:val="20"/>
                <w:szCs w:val="20"/>
              </w:rPr>
            </w:pPr>
            <w:r w:rsidRPr="00966125">
              <w:rPr>
                <w:sz w:val="20"/>
                <w:szCs w:val="20"/>
              </w:rPr>
              <w:t>Window Treatments</w:t>
            </w:r>
          </w:p>
          <w:p w:rsidR="00966125" w:rsidRPr="00966125" w:rsidRDefault="00966125" w:rsidP="00401403">
            <w:pPr>
              <w:spacing w:after="0" w:line="240" w:lineRule="auto"/>
              <w:rPr>
                <w:sz w:val="20"/>
                <w:szCs w:val="20"/>
              </w:rPr>
            </w:pPr>
            <w:r w:rsidRPr="00966125">
              <w:rPr>
                <w:sz w:val="20"/>
                <w:szCs w:val="20"/>
              </w:rPr>
              <w:t>Artwork</w:t>
            </w:r>
          </w:p>
          <w:p w:rsidR="00966125" w:rsidRPr="00966125" w:rsidRDefault="00966125" w:rsidP="00401403">
            <w:pPr>
              <w:spacing w:after="0" w:line="240" w:lineRule="auto"/>
              <w:rPr>
                <w:sz w:val="20"/>
                <w:szCs w:val="20"/>
              </w:rPr>
            </w:pPr>
            <w:r w:rsidRPr="00966125">
              <w:rPr>
                <w:sz w:val="20"/>
                <w:szCs w:val="20"/>
              </w:rPr>
              <w:t>Paint</w:t>
            </w:r>
          </w:p>
          <w:p w:rsidR="00966125" w:rsidRPr="00966125" w:rsidRDefault="00966125" w:rsidP="00401403">
            <w:pPr>
              <w:spacing w:after="0" w:line="240" w:lineRule="auto"/>
              <w:rPr>
                <w:sz w:val="20"/>
                <w:szCs w:val="20"/>
              </w:rPr>
            </w:pPr>
            <w:r w:rsidRPr="00966125">
              <w:rPr>
                <w:sz w:val="20"/>
                <w:szCs w:val="20"/>
              </w:rPr>
              <w:t>Floor rugs</w:t>
            </w:r>
          </w:p>
          <w:p w:rsidR="00966125" w:rsidRPr="00966125" w:rsidRDefault="00966125" w:rsidP="00401403">
            <w:pPr>
              <w:spacing w:after="0" w:line="240" w:lineRule="auto"/>
              <w:rPr>
                <w:sz w:val="20"/>
                <w:szCs w:val="20"/>
              </w:rPr>
            </w:pPr>
            <w:r w:rsidRPr="00966125">
              <w:rPr>
                <w:sz w:val="20"/>
                <w:szCs w:val="20"/>
              </w:rPr>
              <w:t>Chairs</w:t>
            </w:r>
          </w:p>
          <w:p w:rsidR="00966125" w:rsidRPr="00966125" w:rsidRDefault="00966125" w:rsidP="00401403">
            <w:pPr>
              <w:spacing w:after="0" w:line="240" w:lineRule="auto"/>
              <w:rPr>
                <w:sz w:val="20"/>
                <w:szCs w:val="20"/>
              </w:rPr>
            </w:pPr>
            <w:r w:rsidRPr="00966125">
              <w:rPr>
                <w:sz w:val="20"/>
                <w:szCs w:val="20"/>
              </w:rPr>
              <w:t>Lighting</w:t>
            </w:r>
          </w:p>
        </w:tc>
      </w:tr>
      <w:tr w:rsidR="00966125" w:rsidTr="00966125">
        <w:tc>
          <w:tcPr>
            <w:tcW w:w="1623" w:type="dxa"/>
          </w:tcPr>
          <w:p w:rsidR="00966125" w:rsidRPr="00966125" w:rsidRDefault="00966125" w:rsidP="00401403">
            <w:pPr>
              <w:rPr>
                <w:noProof/>
                <w:sz w:val="20"/>
                <w:szCs w:val="20"/>
              </w:rPr>
            </w:pPr>
            <w:r w:rsidRPr="00966125">
              <w:rPr>
                <w:noProof/>
                <w:sz w:val="20"/>
                <w:szCs w:val="20"/>
              </w:rPr>
              <w:t>$2000 Annual Sponsorship</w:t>
            </w:r>
          </w:p>
        </w:tc>
        <w:tc>
          <w:tcPr>
            <w:tcW w:w="1440" w:type="dxa"/>
          </w:tcPr>
          <w:p w:rsidR="00C53471" w:rsidRDefault="00966125" w:rsidP="00C53471">
            <w:pPr>
              <w:rPr>
                <w:noProof/>
                <w:sz w:val="20"/>
                <w:szCs w:val="20"/>
              </w:rPr>
            </w:pPr>
            <w:r w:rsidRPr="00966125">
              <w:rPr>
                <w:noProof/>
                <w:sz w:val="20"/>
                <w:szCs w:val="20"/>
              </w:rPr>
              <w:t>$2000 Annual</w:t>
            </w:r>
          </w:p>
          <w:p w:rsidR="00966125" w:rsidRPr="00966125" w:rsidRDefault="00966125" w:rsidP="00C53471">
            <w:pPr>
              <w:rPr>
                <w:noProof/>
                <w:sz w:val="20"/>
                <w:szCs w:val="20"/>
              </w:rPr>
            </w:pPr>
            <w:bookmarkStart w:id="0" w:name="_GoBack"/>
            <w:bookmarkEnd w:id="0"/>
            <w:r w:rsidRPr="00966125">
              <w:rPr>
                <w:noProof/>
                <w:sz w:val="20"/>
                <w:szCs w:val="20"/>
              </w:rPr>
              <w:t>Sponsorship</w:t>
            </w:r>
          </w:p>
        </w:tc>
        <w:tc>
          <w:tcPr>
            <w:tcW w:w="1530" w:type="dxa"/>
          </w:tcPr>
          <w:p w:rsidR="00966125" w:rsidRPr="00966125" w:rsidRDefault="00966125" w:rsidP="00401403">
            <w:pPr>
              <w:rPr>
                <w:noProof/>
                <w:sz w:val="20"/>
                <w:szCs w:val="20"/>
              </w:rPr>
            </w:pPr>
            <w:r w:rsidRPr="00966125">
              <w:rPr>
                <w:noProof/>
                <w:sz w:val="20"/>
                <w:szCs w:val="20"/>
              </w:rPr>
              <w:t>$1000 Annual Sponsorship</w:t>
            </w:r>
          </w:p>
        </w:tc>
        <w:tc>
          <w:tcPr>
            <w:tcW w:w="1710" w:type="dxa"/>
          </w:tcPr>
          <w:p w:rsidR="00966125" w:rsidRPr="00966125" w:rsidRDefault="00966125" w:rsidP="00401403">
            <w:pPr>
              <w:rPr>
                <w:noProof/>
                <w:sz w:val="20"/>
                <w:szCs w:val="20"/>
              </w:rPr>
            </w:pPr>
            <w:r w:rsidRPr="00966125">
              <w:rPr>
                <w:noProof/>
                <w:sz w:val="20"/>
                <w:szCs w:val="20"/>
              </w:rPr>
              <w:t>$250 Annual</w:t>
            </w:r>
          </w:p>
          <w:p w:rsidR="00966125" w:rsidRPr="00966125" w:rsidRDefault="00966125" w:rsidP="00401403">
            <w:pPr>
              <w:rPr>
                <w:noProof/>
                <w:sz w:val="20"/>
                <w:szCs w:val="20"/>
              </w:rPr>
            </w:pPr>
            <w:r w:rsidRPr="00966125">
              <w:rPr>
                <w:noProof/>
                <w:sz w:val="20"/>
                <w:szCs w:val="20"/>
              </w:rPr>
              <w:t>Sponsorship</w:t>
            </w:r>
          </w:p>
        </w:tc>
        <w:tc>
          <w:tcPr>
            <w:tcW w:w="1620" w:type="dxa"/>
          </w:tcPr>
          <w:p w:rsidR="00966125" w:rsidRPr="00966125" w:rsidRDefault="00966125" w:rsidP="00401403">
            <w:pPr>
              <w:rPr>
                <w:noProof/>
                <w:sz w:val="20"/>
                <w:szCs w:val="20"/>
              </w:rPr>
            </w:pPr>
            <w:r w:rsidRPr="00966125">
              <w:rPr>
                <w:noProof/>
                <w:sz w:val="20"/>
                <w:szCs w:val="20"/>
              </w:rPr>
              <w:t>$2000 Annual Sponsorship</w:t>
            </w:r>
          </w:p>
        </w:tc>
        <w:tc>
          <w:tcPr>
            <w:tcW w:w="1170" w:type="dxa"/>
          </w:tcPr>
          <w:p w:rsidR="00966125" w:rsidRPr="00966125" w:rsidRDefault="00966125" w:rsidP="00401403">
            <w:pPr>
              <w:rPr>
                <w:noProof/>
                <w:sz w:val="20"/>
                <w:szCs w:val="20"/>
              </w:rPr>
            </w:pPr>
            <w:r w:rsidRPr="00966125">
              <w:rPr>
                <w:noProof/>
                <w:sz w:val="20"/>
                <w:szCs w:val="20"/>
              </w:rPr>
              <w:t>$2000  Annual Sponsorhip</w:t>
            </w:r>
          </w:p>
        </w:tc>
        <w:tc>
          <w:tcPr>
            <w:tcW w:w="1870" w:type="dxa"/>
          </w:tcPr>
          <w:p w:rsidR="00966125" w:rsidRPr="00966125" w:rsidRDefault="00966125" w:rsidP="00401403">
            <w:pPr>
              <w:spacing w:after="0" w:line="240" w:lineRule="auto"/>
              <w:rPr>
                <w:sz w:val="20"/>
                <w:szCs w:val="20"/>
              </w:rPr>
            </w:pPr>
            <w:r w:rsidRPr="00966125">
              <w:rPr>
                <w:sz w:val="20"/>
                <w:szCs w:val="20"/>
              </w:rPr>
              <w:t>$500  Annual Sponsorship (each)</w:t>
            </w:r>
          </w:p>
        </w:tc>
      </w:tr>
    </w:tbl>
    <w:p w:rsidR="00FC155A" w:rsidRDefault="00FC155A" w:rsidP="00FC155A"/>
    <w:p w:rsidR="00FC155A" w:rsidRDefault="00FC155A" w:rsidP="00FC155A"/>
    <w:p w:rsidR="00FC155A" w:rsidRDefault="00FC155A" w:rsidP="00FC155A"/>
    <w:p w:rsidR="00FC155A" w:rsidRDefault="00FC155A" w:rsidP="00620513">
      <w:pPr>
        <w:jc w:val="center"/>
      </w:pPr>
    </w:p>
    <w:p w:rsidR="00FC155A" w:rsidRDefault="00FC155A" w:rsidP="00FC155A"/>
    <w:p w:rsidR="00856C6E" w:rsidRDefault="00856C6E" w:rsidP="00FC155A"/>
    <w:p w:rsidR="00856C6E" w:rsidRDefault="00856C6E" w:rsidP="00FC155A"/>
    <w:p w:rsidR="00FC155A" w:rsidRPr="00856C6E" w:rsidRDefault="00FC155A" w:rsidP="00FC155A">
      <w:pPr>
        <w:rPr>
          <w:b/>
          <w:u w:val="single"/>
        </w:rPr>
      </w:pPr>
      <w:r w:rsidRPr="00856C6E">
        <w:rPr>
          <w:b/>
          <w:u w:val="single"/>
        </w:rPr>
        <w:lastRenderedPageBreak/>
        <w:t>Guidelines</w:t>
      </w:r>
    </w:p>
    <w:p w:rsidR="00FC155A" w:rsidRDefault="00FC155A" w:rsidP="00FC155A">
      <w:pPr>
        <w:pStyle w:val="ListParagraph"/>
        <w:numPr>
          <w:ilvl w:val="0"/>
          <w:numId w:val="1"/>
        </w:numPr>
      </w:pPr>
      <w:r>
        <w:t>The home is occupied by adult women</w:t>
      </w:r>
      <w:r w:rsidR="00C53471">
        <w:t xml:space="preserve"> and children</w:t>
      </w:r>
      <w:r>
        <w:t xml:space="preserve">.  Therefore, this should be taken into account when selecting a theme.  </w:t>
      </w:r>
    </w:p>
    <w:p w:rsidR="00FC155A" w:rsidRDefault="00FC155A" w:rsidP="00FC155A">
      <w:pPr>
        <w:pStyle w:val="ListParagraph"/>
        <w:numPr>
          <w:ilvl w:val="0"/>
          <w:numId w:val="1"/>
        </w:numPr>
      </w:pPr>
      <w:r>
        <w:t xml:space="preserve">Sponsors will coordinate with the Executive Director (ED) on room availability and the items needed. Site visits will be at the convenience of the ED or Board Chair. A complete, documented design plan must be submitted and approved by the ED before implementation. Sponsorship designation will be taken in order of receipt and approval of completed package. </w:t>
      </w:r>
    </w:p>
    <w:p w:rsidR="00FC155A" w:rsidRDefault="00FC155A" w:rsidP="00FC155A">
      <w:pPr>
        <w:pStyle w:val="ListParagraph"/>
        <w:numPr>
          <w:ilvl w:val="0"/>
          <w:numId w:val="1"/>
        </w:numPr>
      </w:pPr>
      <w:r>
        <w:t xml:space="preserve">A neutral color scheme is recommended. Default colors will be white or off-white tones (Behr, Antique White, W-R-320 Satin finish or Behr, Stable Hay, 310E-2, Satin finish - available from Home Depot). If a color selection is wanted other than the standard, a paint swatch must be submitted with your design plan application.  </w:t>
      </w:r>
    </w:p>
    <w:p w:rsidR="00FC155A" w:rsidRDefault="00FC155A" w:rsidP="00FC155A">
      <w:pPr>
        <w:pStyle w:val="ListParagraph"/>
        <w:numPr>
          <w:ilvl w:val="0"/>
          <w:numId w:val="1"/>
        </w:numPr>
      </w:pPr>
      <w:r>
        <w:t xml:space="preserve">Rooms requiring electronic support, must comply with the standards established by the HOB II and be approved, in writing, by ED.  Please note the type of electronic equipment, by brand and specification, on the design plan form. </w:t>
      </w:r>
    </w:p>
    <w:p w:rsidR="00FC155A" w:rsidRDefault="00FC155A" w:rsidP="00FC155A">
      <w:pPr>
        <w:pStyle w:val="ListParagraph"/>
        <w:numPr>
          <w:ilvl w:val="0"/>
          <w:numId w:val="1"/>
        </w:numPr>
      </w:pPr>
      <w:r>
        <w:t xml:space="preserve">The Executive Director will establish a timeframe when the Sponsor can come on site to conduct the decorating activity. Priority is to providing housing for our homeless </w:t>
      </w:r>
      <w:r w:rsidR="00856C6E">
        <w:t>vets;</w:t>
      </w:r>
      <w:r>
        <w:t xml:space="preserve"> therefore work will be conducted during periods of vacancy. </w:t>
      </w:r>
    </w:p>
    <w:p w:rsidR="00C53471" w:rsidRDefault="00FC155A" w:rsidP="00FC155A">
      <w:pPr>
        <w:pStyle w:val="ListParagraph"/>
        <w:numPr>
          <w:ilvl w:val="0"/>
          <w:numId w:val="1"/>
        </w:numPr>
      </w:pPr>
      <w:r>
        <w:t xml:space="preserve">The following items should NOT be used in your design plan: wallpaper, wallpaper or stenciled borders, anything with adhesive backing or tape, structural changes, space heaters or air conditioners. Removable vinyl wall decals may be used. </w:t>
      </w:r>
    </w:p>
    <w:p w:rsidR="00FC155A" w:rsidRDefault="00FC155A" w:rsidP="00FC155A">
      <w:pPr>
        <w:pStyle w:val="ListParagraph"/>
        <w:numPr>
          <w:ilvl w:val="0"/>
          <w:numId w:val="1"/>
        </w:numPr>
      </w:pPr>
      <w:r>
        <w:t xml:space="preserve">Window treatments will be pole and or rod type, versus drapes requiring special hardware and customization. </w:t>
      </w:r>
    </w:p>
    <w:p w:rsidR="00FC155A" w:rsidRDefault="00FC155A" w:rsidP="00FC155A">
      <w:pPr>
        <w:pStyle w:val="ListParagraph"/>
        <w:numPr>
          <w:ilvl w:val="0"/>
          <w:numId w:val="1"/>
        </w:numPr>
      </w:pPr>
      <w:r>
        <w:t xml:space="preserve">Six (6) sets of bed linens (twin) are recommended since each bedroom will house at a minimum </w:t>
      </w:r>
      <w:r w:rsidR="002D3BF3">
        <w:t>2</w:t>
      </w:r>
      <w:r>
        <w:t xml:space="preserve"> Residents. As stated above, linens and personal items will leave with the resident as they transition to a new home. </w:t>
      </w:r>
    </w:p>
    <w:p w:rsidR="00FC155A" w:rsidRDefault="00FC155A" w:rsidP="00FC155A">
      <w:pPr>
        <w:pStyle w:val="ListParagraph"/>
        <w:numPr>
          <w:ilvl w:val="0"/>
          <w:numId w:val="1"/>
        </w:numPr>
      </w:pPr>
      <w:r>
        <w:t xml:space="preserve">A recognition plaque (not more than 5 x7 inches) can be supplied by the Sponsor. </w:t>
      </w:r>
    </w:p>
    <w:p w:rsidR="00FC155A" w:rsidRDefault="00FC155A" w:rsidP="00FC155A">
      <w:pPr>
        <w:pStyle w:val="ListParagraph"/>
        <w:numPr>
          <w:ilvl w:val="0"/>
          <w:numId w:val="1"/>
        </w:numPr>
      </w:pPr>
      <w:r>
        <w:t>HOB</w:t>
      </w:r>
      <w:r w:rsidR="00856C6E">
        <w:t xml:space="preserve"> </w:t>
      </w:r>
      <w:r>
        <w:t xml:space="preserve">II has the overall responsibility for upkeep of the home and as such, the ED can initiate painting or other maintenance as needed in order to meet the needs of the Resident. </w:t>
      </w:r>
    </w:p>
    <w:p w:rsidR="00FC155A" w:rsidRDefault="00FC155A" w:rsidP="00FC155A"/>
    <w:p w:rsidR="008A317B" w:rsidRDefault="008A317B"/>
    <w:sectPr w:rsidR="008A31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sidP="00620513">
      <w:pPr>
        <w:spacing w:after="0" w:line="240" w:lineRule="auto"/>
      </w:pPr>
      <w:r>
        <w:separator/>
      </w:r>
    </w:p>
  </w:endnote>
  <w:endnote w:type="continuationSeparator" w:id="0">
    <w:p w:rsidR="000A1C9C" w:rsidRDefault="000A1C9C" w:rsidP="0062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sidP="00620513">
      <w:pPr>
        <w:spacing w:after="0" w:line="240" w:lineRule="auto"/>
      </w:pPr>
      <w:r>
        <w:separator/>
      </w:r>
    </w:p>
  </w:footnote>
  <w:footnote w:type="continuationSeparator" w:id="0">
    <w:p w:rsidR="000A1C9C" w:rsidRDefault="000A1C9C" w:rsidP="0062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13" w:rsidRDefault="00620513">
    <w:pPr>
      <w:pStyle w:val="Header"/>
    </w:pPr>
  </w:p>
  <w:p w:rsidR="00620513" w:rsidRDefault="00620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3329"/>
    <w:multiLevelType w:val="hybridMultilevel"/>
    <w:tmpl w:val="FADE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5A"/>
    <w:rsid w:val="000A1C9C"/>
    <w:rsid w:val="002D3BF3"/>
    <w:rsid w:val="00344AC2"/>
    <w:rsid w:val="00354308"/>
    <w:rsid w:val="00620513"/>
    <w:rsid w:val="00765DE8"/>
    <w:rsid w:val="00856C6E"/>
    <w:rsid w:val="008740C2"/>
    <w:rsid w:val="008A317B"/>
    <w:rsid w:val="00966125"/>
    <w:rsid w:val="00C4471D"/>
    <w:rsid w:val="00C53471"/>
    <w:rsid w:val="00C93FC9"/>
    <w:rsid w:val="00FC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5A"/>
    <w:pPr>
      <w:ind w:left="720"/>
      <w:contextualSpacing/>
    </w:pPr>
  </w:style>
  <w:style w:type="table" w:styleId="TableGrid">
    <w:name w:val="Table Grid"/>
    <w:basedOn w:val="TableNormal"/>
    <w:uiPriority w:val="39"/>
    <w:rsid w:val="00FC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13"/>
    <w:rPr>
      <w:rFonts w:ascii="Tahoma" w:hAnsi="Tahoma" w:cs="Tahoma"/>
      <w:sz w:val="16"/>
      <w:szCs w:val="16"/>
    </w:rPr>
  </w:style>
  <w:style w:type="paragraph" w:styleId="Header">
    <w:name w:val="header"/>
    <w:basedOn w:val="Normal"/>
    <w:link w:val="HeaderChar"/>
    <w:uiPriority w:val="99"/>
    <w:unhideWhenUsed/>
    <w:rsid w:val="0062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13"/>
  </w:style>
  <w:style w:type="paragraph" w:styleId="Footer">
    <w:name w:val="footer"/>
    <w:basedOn w:val="Normal"/>
    <w:link w:val="FooterChar"/>
    <w:uiPriority w:val="99"/>
    <w:unhideWhenUsed/>
    <w:rsid w:val="0062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5A"/>
    <w:pPr>
      <w:ind w:left="720"/>
      <w:contextualSpacing/>
    </w:pPr>
  </w:style>
  <w:style w:type="table" w:styleId="TableGrid">
    <w:name w:val="Table Grid"/>
    <w:basedOn w:val="TableNormal"/>
    <w:uiPriority w:val="39"/>
    <w:rsid w:val="00FC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13"/>
    <w:rPr>
      <w:rFonts w:ascii="Tahoma" w:hAnsi="Tahoma" w:cs="Tahoma"/>
      <w:sz w:val="16"/>
      <w:szCs w:val="16"/>
    </w:rPr>
  </w:style>
  <w:style w:type="paragraph" w:styleId="Header">
    <w:name w:val="header"/>
    <w:basedOn w:val="Normal"/>
    <w:link w:val="HeaderChar"/>
    <w:uiPriority w:val="99"/>
    <w:unhideWhenUsed/>
    <w:rsid w:val="0062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13"/>
  </w:style>
  <w:style w:type="paragraph" w:styleId="Footer">
    <w:name w:val="footer"/>
    <w:basedOn w:val="Normal"/>
    <w:link w:val="FooterChar"/>
    <w:uiPriority w:val="99"/>
    <w:unhideWhenUsed/>
    <w:rsid w:val="0062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Executive Director</cp:lastModifiedBy>
  <cp:revision>3</cp:revision>
  <dcterms:created xsi:type="dcterms:W3CDTF">2016-12-07T15:42:00Z</dcterms:created>
  <dcterms:modified xsi:type="dcterms:W3CDTF">2016-12-07T15:47:00Z</dcterms:modified>
</cp:coreProperties>
</file>